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206" w:tblpY="1443"/>
        <w:tblOverlap w:val="never"/>
        <w:tblW w:w="147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1134"/>
        <w:gridCol w:w="850"/>
        <w:gridCol w:w="917"/>
        <w:gridCol w:w="1480"/>
        <w:gridCol w:w="1880"/>
        <w:gridCol w:w="820"/>
        <w:gridCol w:w="1020"/>
        <w:gridCol w:w="214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性质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5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要　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岗位职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能简介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分类招聘人数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其它招聘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条　　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贵阳市乌当区新天学校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教师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中学语文教学工作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语文及相关专业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具有相应教师资格和普通话等级证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贵阳市乌当区新天学校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教师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小学数学教学工作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具有相应教师资格和普通话等级证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贵阳市乌当区新天学校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教师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小学体育教学工作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体育及相关专业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具有相应教师资格和普通话等级证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贵阳市乌当区新天学校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教师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小学音乐教学工作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音乐及相关专业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具有相应教师资格和普通话等级证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贵阳市乌当区新天学校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教师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小学美术教学工作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美术及相关专业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具有相应教师资格和普通话等级证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贵阳市乌当区新天学校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教师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地方课程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学校课程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地方课程教学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学校课程教学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语文及相关专业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具有相应教师资格和普通话等级证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贵阳市乌当区新天学校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教师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道德与法治教学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政治学、教育学及相关专业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具有相应教师资格和普通话等级证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eastAsia="宋体"/>
        <w:sz w:val="32"/>
        <w:szCs w:val="32"/>
        <w:lang w:val="en-US" w:eastAsia="zh-CN"/>
      </w:rPr>
    </w:pPr>
    <w:bookmarkStart w:id="0" w:name="_GoBack"/>
    <w:r>
      <w:rPr>
        <w:rFonts w:hint="eastAsia"/>
        <w:sz w:val="32"/>
        <w:szCs w:val="32"/>
        <w:lang w:val="en-US" w:eastAsia="zh-CN"/>
      </w:rPr>
      <w:t>附件2：</w:t>
    </w:r>
    <w:r>
      <w:rPr>
        <w:rFonts w:hint="default" w:eastAsia="宋体"/>
        <w:sz w:val="32"/>
        <w:szCs w:val="32"/>
        <w:lang w:val="en-US" w:eastAsia="zh-CN"/>
      </w:rPr>
      <w:t>贵阳市乌当区实验二小面向社会公开招聘合同制（非编制）小学教师</w:t>
    </w:r>
    <w:r>
      <w:rPr>
        <w:rFonts w:hint="eastAsia"/>
        <w:sz w:val="32"/>
        <w:szCs w:val="32"/>
        <w:lang w:val="en-US" w:eastAsia="zh-CN"/>
      </w:rPr>
      <w:t>岗位设置表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66FD"/>
    <w:rsid w:val="42486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2020-06-24T02:00:00Z</dcterms:created>
  <dc:creator>Administrator</dc:creator>
  <cp:lastModifiedBy>Administrator</cp:lastModifiedBy>
  <dcterms:modified xsi:type="dcterms:W3CDTF">2020-06-24T02:07:09Z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