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黑体" w:hAnsi="宋体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color w:val="auto"/>
          <w:kern w:val="2"/>
          <w:sz w:val="32"/>
          <w:szCs w:val="32"/>
        </w:rPr>
        <w:t>附件</w:t>
      </w:r>
      <w:r>
        <w:rPr>
          <w:rFonts w:hint="eastAsia" w:ascii="黑体" w:hAnsi="宋体" w:eastAsia="黑体" w:cs="Times New Roman"/>
          <w:color w:val="auto"/>
          <w:kern w:val="2"/>
          <w:sz w:val="32"/>
          <w:szCs w:val="32"/>
          <w:lang w:val="en-US" w:eastAsia="zh-CN"/>
        </w:rPr>
        <w:t>1</w:t>
      </w:r>
    </w:p>
    <w:tbl>
      <w:tblPr>
        <w:tblStyle w:val="2"/>
        <w:tblW w:w="92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826"/>
        <w:gridCol w:w="2169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青云谱区2023年面向全省选调优秀中小学教师岗位表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0AA86FD6"/>
    <w:rsid w:val="0AA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2023-07-26T01:30:00Z</dcterms:created>
  <dc:creator>梅文杰</dc:creator>
  <cp:lastModifiedBy>梅文杰</cp:lastModifiedBy>
  <dcterms:modified xsi:type="dcterms:W3CDTF">2023-07-26T01:30:22Z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372CECF0A025437DB1E41574BF529190_11</vt:lpwstr>
  </property>
</Properties>
</file>